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黑体简体" w:cs="方正小标宋简体"/>
          <w:kern w:val="32"/>
          <w:sz w:val="36"/>
          <w:szCs w:val="36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附件1</w:t>
      </w: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kern w:val="3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36"/>
          <w:szCs w:val="36"/>
        </w:rPr>
        <w:t>高校青年教师教学竞赛简介</w:t>
      </w:r>
    </w:p>
    <w:p>
      <w:pPr>
        <w:numPr>
          <w:ilvl w:val="0"/>
          <w:numId w:val="1"/>
        </w:numPr>
        <w:ind w:firstLine="640" w:firstLineChars="200"/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基本情况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主办单位：全国总工会、教育部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周期：两年举办一次（偶数年）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赛制：校赛、省赛、国赛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竞赛分组：文科、理科、工科、医科、思想政治课专项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比赛时间：省赛一般为当年5月。</w:t>
      </w:r>
    </w:p>
    <w:p>
      <w:pPr>
        <w:numPr>
          <w:ilvl w:val="0"/>
          <w:numId w:val="1"/>
        </w:numPr>
        <w:ind w:firstLine="640" w:firstLineChars="200"/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竞赛内容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竞赛内容包括教学设计、课堂教学和教学反思三部分。</w:t>
      </w:r>
    </w:p>
    <w:p>
      <w:pPr>
        <w:ind w:firstLine="643" w:firstLineChars="200"/>
        <w:rPr>
          <w:rFonts w:ascii="Times New Roman" w:hAnsi="Times New Roman" w:eastAsia="仿宋" w:cs="Times New Roman"/>
          <w:b/>
          <w:bCs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b/>
          <w:bCs/>
          <w:kern w:val="32"/>
          <w:sz w:val="32"/>
          <w:szCs w:val="40"/>
        </w:rPr>
        <w:t>四川省初赛（网络评审）参赛教师需提交材料及要求如下：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（1）教学大纲。教学大纲主要包含课程名称、基本信</w:t>
      </w: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息（课程性质、教学时数、学分、学生对象）、课程简介、课程目标、课程内容与教学安排、课程评价、建议阅读文</w:t>
      </w: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献等要素。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（2）教学设计。15 个学时的教学设计。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（3）课堂教学节段 PPT。与 15 个学时教学设计相对</w:t>
      </w: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应的 15 个课堂教学节段的 PPT，课堂教学节段时长为 20</w:t>
      </w: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分钟。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（4）课堂教学视频与教学反思。选手从15个学时中</w:t>
      </w:r>
    </w:p>
    <w:p>
      <w:pPr>
        <w:rPr>
          <w:rFonts w:hint="eastAsia" w:ascii="Times New Roman" w:hAnsi="Times New Roman" w:eastAsia="仿宋" w:cs="Times New Roman"/>
          <w:kern w:val="32"/>
          <w:sz w:val="32"/>
          <w:szCs w:val="40"/>
        </w:rPr>
      </w:pP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选取一个学时录制 20 分钟教学视频，课堂教学采取“无生</w:t>
      </w: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上课”的形式。</w:t>
      </w:r>
    </w:p>
    <w:p>
      <w:pPr>
        <w:ind w:firstLine="643" w:firstLineChars="200"/>
        <w:rPr>
          <w:rFonts w:ascii="Times New Roman" w:hAnsi="Times New Roman" w:eastAsia="仿宋" w:cs="Times New Roman"/>
          <w:b/>
          <w:bCs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b/>
          <w:bCs/>
          <w:kern w:val="32"/>
          <w:sz w:val="32"/>
          <w:szCs w:val="40"/>
        </w:rPr>
        <w:t>四川省决赛内容：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1.网上提交材料：教学大纲、15 个学时教学设计、15 个学时教学 PPT，决赛提交的材料不要求与初赛完全一致，允许进行更新。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2.现场教学展示及教学反思。参赛教师从15个教学节段中抽取一个进行20分钟的现场教学展示，并结合教学展示从教学理念、教学方法和教学过程等方面现场撰写教学反思。</w:t>
      </w:r>
    </w:p>
    <w:p>
      <w:pPr>
        <w:numPr>
          <w:ilvl w:val="0"/>
          <w:numId w:val="1"/>
        </w:numPr>
        <w:ind w:firstLine="640" w:firstLineChars="200"/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奖项设置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四川省省赛医科、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文科、理科、工科和思想政治课专项各评出一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、二、三等奖和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优秀奖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若干名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。各组别获得第一名的选手，符合条件的将按程序申报四川省“五一劳动奖章”，并代表四川参加全国青年教师教学竞赛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。</w:t>
      </w: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</w:p>
    <w:p>
      <w:pPr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235558"/>
    <w:multiLevelType w:val="singleLevel"/>
    <w:tmpl w:val="892355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GY2ZDQ1ZjJjNTA0ODI5Njc1NTQ1YzRkM2RhYjcifQ=="/>
  </w:docVars>
  <w:rsids>
    <w:rsidRoot w:val="00000000"/>
    <w:rsid w:val="3D3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2023-06-30T06:08:17Z</dcterms:created>
  <dc:creator>pc</dc:creator>
  <cp:lastModifiedBy>反光</cp:lastModifiedBy>
  <dcterms:modified xsi:type="dcterms:W3CDTF">2023-06-30T06:08:27Z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B425C1AD23144543A445B5D95674DA7E_12</vt:lpwstr>
  </property>
</Properties>
</file>